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具体工作范围    </w:t>
      </w:r>
    </w:p>
    <w:tbl>
      <w:tblPr>
        <w:tblStyle w:val="3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04"/>
        <w:gridCol w:w="1846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位置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点位数量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内科楼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8楼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10楼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-2楼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生活饮用水，需检测臭氧量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7楼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生活饮用水，需检测臭氧量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新大楼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17楼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生活饮用水，需检测臭氧量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污水处理站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进出口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污水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zh-CN" w:eastAsia="zh-CN" w:bidi="ar-SA"/>
        </w:rPr>
        <w:t>委托检测项目清单</w:t>
      </w:r>
    </w:p>
    <w:tbl>
      <w:tblPr>
        <w:tblStyle w:val="4"/>
        <w:tblW w:w="8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95"/>
        <w:gridCol w:w="2901"/>
        <w:gridCol w:w="1297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类  别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检测项目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频次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1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生活饮用水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PH值、耗氧量、化学需氧量、生化需氧量、氨氮、总磷、总氮、余氯、挥发酚类、叶绿素a、石油类、阴离子合成洗涤剂、总大肠菌群、悬浮物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2次/年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ind w:firstLine="686" w:firstLineChars="24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2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  <w:t>污水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PH值、悬浮物、化学需氧量、氨氮、总氯、生活需氧量、阴离子表面活性剂、粪大肠菌群数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2次/年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ind w:firstLine="686" w:firstLineChars="24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37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baby steps</cp:lastModifiedBy>
  <dcterms:modified xsi:type="dcterms:W3CDTF">2019-04-09T06:52:22Z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