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92" w:tblpY="325"/>
        <w:tblOverlap w:val="never"/>
        <w:tblW w:w="898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825"/>
        <w:gridCol w:w="7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23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评审内容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满分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价格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15分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以各参与的供货商有效报价的最低价作为评审基准价，等于基准价得满分15分。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承诺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35分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由招标小组成员根据各供货商的招标文件承诺情况自主赋分。承诺内容必须包含：维保服务质量状况（20分）；在黄山市注册的公司得（5分），售后响应时间是否在30分钟之内（10分）。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9" w:hRule="atLeast"/>
          <w:tblCellSpacing w:w="15" w:type="dxa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资质实力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30分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山电梯保有量（500台以上得15分，300台到500台得10分，300台以下得5分）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获得安徽省电梯维保作业人员职业技能比赛（团体或个人）获得前五名的得10分，第六名到第十名得5分，第十名之后得3分；企业注册时间：15年以上含15年（5分），5年到15年，含5年得（3分），5年以下得（1分）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政府认可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15分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2017年，2018年度市市场监督管理局电梯维保质量抽查排名（前三名的得15分，其次依次降分）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业绩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5分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kern w:val="0"/>
                <w:sz w:val="32"/>
                <w:szCs w:val="32"/>
                <w:lang w:val="en-US" w:eastAsia="zh-CN" w:bidi="ar"/>
              </w:rPr>
              <w:t>提供5年内投标企业与医院签定的电梯维保合同，每份合同计1分，满分5分。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213" w:firstLineChars="1000"/>
      <w:rPr>
        <w:rFonts w:hint="eastAsia" w:eastAsiaTheme="minorEastAsia"/>
        <w:b/>
        <w:bCs/>
        <w:sz w:val="32"/>
        <w:szCs w:val="32"/>
        <w:lang w:eastAsia="zh-CN"/>
      </w:rPr>
    </w:pPr>
    <w:r>
      <w:rPr>
        <w:rFonts w:hint="eastAsia"/>
        <w:b/>
        <w:bCs/>
        <w:sz w:val="32"/>
        <w:szCs w:val="32"/>
        <w:lang w:eastAsia="zh-CN"/>
      </w:rPr>
      <w:t>评分项目表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251FB"/>
    <w:rsid w:val="20505142"/>
    <w:rsid w:val="6992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2019-12-31T06:39:00Z</dcterms:created>
  <dc:creator>Administrator</dc:creator>
  <cp:lastModifiedBy>Administrator</cp:lastModifiedBy>
  <dcterms:modified xsi:type="dcterms:W3CDTF">2019-12-31T06:45:02Z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