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-754" w:tblpY="659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37"/>
        <w:gridCol w:w="1544"/>
        <w:gridCol w:w="601"/>
        <w:gridCol w:w="4852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741" w:hRule="atLeast"/>
        </w:trPr>
        <w:tc>
          <w:tcPr>
            <w:tcW w:w="676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left="-176" w:leftChars="-84" w:firstLine="138" w:firstLineChars="49"/>
              <w:rPr>
                <w:rFonts w:hint="eastAsia" w:hAnsi="PMingLiU" w:cs="宋体" w:asciiTheme="minorAscii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double" w:color="auto" w:sz="4" w:space="0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hAnsi="PMingLiU" w:cs="宋体" w:asciiTheme="minorAscii"/>
                <w:b/>
                <w:bCs/>
                <w:color w:val="auto"/>
                <w:kern w:val="0"/>
                <w:sz w:val="28"/>
                <w:szCs w:val="28"/>
              </w:rPr>
              <w:t>品名</w:t>
            </w:r>
          </w:p>
        </w:tc>
        <w:tc>
          <w:tcPr>
            <w:tcW w:w="6997" w:type="dxa"/>
            <w:gridSpan w:val="3"/>
            <w:tcBorders>
              <w:top w:val="doub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eastAsia="黑体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hAnsi="PMingLiU" w:cs="宋体" w:asciiTheme="minorAscii"/>
                <w:b/>
                <w:bCs/>
                <w:color w:val="auto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060" w:type="dxa"/>
            <w:tcBorders>
              <w:top w:val="doub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eastAsia="黑体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黑体" w:asciiTheme="minorAscii"/>
                <w:b/>
                <w:bCs/>
                <w:color w:val="auto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676" w:type="dxa"/>
            <w:vMerge w:val="restart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  <w:t>一、</w:t>
            </w:r>
          </w:p>
          <w:p>
            <w:pPr>
              <w:ind w:left="0" w:leftChars="0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  <w:t>云</w:t>
            </w:r>
          </w:p>
          <w:p>
            <w:pPr>
              <w:ind w:left="0" w:leftChars="0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  <w:t>消</w:t>
            </w:r>
          </w:p>
          <w:p>
            <w:pPr>
              <w:ind w:left="0" w:leftChars="0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  <w:t>费</w:t>
            </w:r>
          </w:p>
          <w:p>
            <w:pPr>
              <w:ind w:left="0" w:leftChars="0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  <w:t>系</w:t>
            </w:r>
          </w:p>
          <w:p>
            <w:pPr>
              <w:ind w:left="0" w:leftChars="0"/>
              <w:jc w:val="center"/>
              <w:rPr>
                <w:rFonts w:hint="eastAsia" w:asciiTheme="minorAsci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eastAsia="zh-CN"/>
              </w:rPr>
              <w:t>统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联想电脑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hAnsi="宋体" w:cs="宋体" w:asciiTheme="minorAscii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Theme="minorAscii"/>
                <w:b/>
                <w:color w:val="auto"/>
                <w:sz w:val="28"/>
                <w:szCs w:val="28"/>
              </w:rPr>
              <w:t>扬天M6603 I5-9400/4G/1TB/无光驱/19.5LED     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firstLine="141" w:firstLineChars="50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676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left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spacing w:line="0" w:lineRule="atLeast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云消费机</w:t>
            </w:r>
          </w:p>
        </w:tc>
        <w:tc>
          <w:tcPr>
            <w:tcW w:w="1544" w:type="dxa"/>
            <w:tcBorders>
              <w:left w:val="single" w:color="FFFFFF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Theme="minorAscii"/>
                <w:b/>
                <w:color w:val="auto"/>
                <w:sz w:val="28"/>
                <w:szCs w:val="28"/>
              </w:rPr>
            </w:pPr>
            <w:r>
              <w:rPr>
                <w:rFonts w:asciiTheme="minorAscii"/>
                <w:b/>
                <w:color w:val="auto"/>
                <w:sz w:val="28"/>
                <w:szCs w:val="28"/>
              </w:rPr>
              <w:drawing>
                <wp:inline distT="0" distB="0" distL="114300" distR="114300">
                  <wp:extent cx="985520" cy="809625"/>
                  <wp:effectExtent l="0" t="0" r="5080" b="9525"/>
                  <wp:docPr id="5" name="图片 5" descr="0ee1ca52da8dfeb2c40626144102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ee1ca52da8dfeb2c406261441021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gridSpan w:val="2"/>
            <w:vMerge w:val="restart"/>
            <w:tcBorders>
              <w:left w:val="single" w:color="FFFFFF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工作电源：220VAC±10%；后备电源：≥4小时    功率：3W；重量：3Kg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显示方式：双面3.5寸TFT彩屏/通讯接口：TCP/IP、USB（WIFI、4G移动通讯）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最多台数 ：TCP/IP方式：254台/卡号个数：20亿个，黑名单数2万个，脱机记录条数：5000 条USB、U盘、485、TCP/IP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1、 高清晰语音播报：具有高质量、高清晰的操作语音提示。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2、 多场所应用：适用于食堂、内部超市等。能在各种恶劣的环境下工作，经久耐用。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3、 超大存储量：消费数据实时上传服务器硬盘永久存放并自动备份</w:t>
            </w:r>
          </w:p>
          <w:p>
            <w:pPr>
              <w:jc w:val="left"/>
              <w:rPr>
                <w:rFonts w:hint="eastAsia" w:hAnsi="宋体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4、具有多种消费模式：分为定额消费、输入金额消费（单价）、时段固定消费，级别固定消费等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5、自动汇总报表：按交易类型进行累计报表，含交易类型、交易次数、交易金额、报表时间等。单台设备消费实时总汇，当设置多个消费站点时，可通过管理软件集中管理、分点统计。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6、限次限额模式：具备单笔消费限额、日限额、日限次、时段（餐）限额、时段（餐）限次功能</w:t>
            </w:r>
          </w:p>
          <w:p>
            <w:pPr>
              <w:jc w:val="left"/>
              <w:rPr>
                <w:rFonts w:hint="eastAsia"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</w:rPr>
              <w:t>7、多种报表查询轻松便捷：本机提供最近消费单查询、汇总（累计）报表，日报表，时段(餐别)报表；并可根据起止日期对指定报表进行查询和统计。具备倒序查询交易记录、交易数据汇总等功能，并可打印交易清单及报表。可导出为ExceL、TXT等多种数据格式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firstLine="138" w:firstLineChars="49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676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left"/>
              <w:rPr>
                <w:rFonts w:asciiTheme="minorAscii"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asciiTheme="minorAscii"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color="FFFFFF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Theme="minorAscii"/>
                <w:b/>
                <w:color w:val="auto"/>
                <w:sz w:val="28"/>
                <w:szCs w:val="28"/>
              </w:rPr>
            </w:pPr>
            <w:r>
              <w:rPr>
                <w:rFonts w:asciiTheme="minorAscii"/>
                <w:b/>
                <w:color w:val="auto"/>
                <w:sz w:val="28"/>
                <w:szCs w:val="28"/>
              </w:rPr>
              <w:drawing>
                <wp:inline distT="0" distB="0" distL="114300" distR="114300">
                  <wp:extent cx="940435" cy="686435"/>
                  <wp:effectExtent l="0" t="0" r="12065" b="1841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gridSpan w:val="2"/>
            <w:vMerge w:val="continue"/>
            <w:tcBorders>
              <w:left w:val="single" w:color="FFFFFF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asciiTheme="minorAscii"/>
                <w:b/>
                <w:color w:val="auto"/>
                <w:sz w:val="28"/>
                <w:szCs w:val="28"/>
              </w:rPr>
            </w:pP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1" w:hRule="atLeast"/>
        </w:trPr>
        <w:tc>
          <w:tcPr>
            <w:tcW w:w="676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left"/>
              <w:rPr>
                <w:rFonts w:asciiTheme="minorAscii"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asciiTheme="minorAscii"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color w:val="auto"/>
                <w:sz w:val="28"/>
                <w:szCs w:val="28"/>
              </w:rPr>
              <w:t>手持终端</w:t>
            </w:r>
          </w:p>
        </w:tc>
        <w:tc>
          <w:tcPr>
            <w:tcW w:w="1544" w:type="dxa"/>
            <w:tcBorders>
              <w:left w:val="single" w:color="FFFFFF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asciiTheme="minorAscii"/>
                <w:b/>
                <w:color w:val="auto"/>
                <w:sz w:val="28"/>
                <w:szCs w:val="28"/>
              </w:rPr>
            </w:pPr>
            <w:r>
              <w:rPr>
                <w:rFonts w:asciiTheme="minorAscii"/>
                <w:color w:val="auto"/>
                <w:sz w:val="28"/>
                <w:szCs w:val="28"/>
              </w:rPr>
              <w:fldChar w:fldCharType="begin"/>
            </w:r>
            <w:r>
              <w:rPr>
                <w:rFonts w:asciiTheme="minorAscii"/>
                <w:color w:val="auto"/>
                <w:sz w:val="28"/>
                <w:szCs w:val="28"/>
              </w:rPr>
              <w:instrText xml:space="preserve"> INCLUDEPICTURE "D:\\我的文档\\Documents\\Tencent Files\\849697832\\Image\\C2C\\U5JLCN)G5EDTVDIX[DD{4S8.jpg" \* MERGEFORMATINET </w:instrText>
            </w:r>
            <w:r>
              <w:rPr>
                <w:rFonts w:asciiTheme="minorAscii"/>
                <w:color w:val="auto"/>
                <w:sz w:val="28"/>
                <w:szCs w:val="28"/>
              </w:rPr>
              <w:fldChar w:fldCharType="separate"/>
            </w:r>
            <w:r>
              <w:rPr>
                <w:rFonts w:asciiTheme="minorAscii"/>
                <w:color w:val="auto"/>
                <w:sz w:val="28"/>
                <w:szCs w:val="28"/>
              </w:rPr>
              <w:drawing>
                <wp:inline distT="0" distB="0" distL="114300" distR="114300">
                  <wp:extent cx="728980" cy="629285"/>
                  <wp:effectExtent l="0" t="0" r="13970" b="18415"/>
                  <wp:docPr id="1" name="图片 1" descr="U5JLCN)G5EDTVDIX[DD{4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5JLCN)G5EDTVDIX[DD{4S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Ascii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left w:val="single" w:color="FFFFFF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asciiTheme="minorAscii"/>
                <w:color w:val="auto"/>
                <w:sz w:val="28"/>
                <w:szCs w:val="28"/>
              </w:rPr>
              <w:t>核心组件：CPU 主频8核Cortex A53 1.25G Hz处理器，内存：1GB DDR3，FLASH：4GB Nand Flash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2。</w:t>
            </w:r>
            <w:r>
              <w:rPr>
                <w:rFonts w:asciiTheme="minorAscii"/>
                <w:color w:val="auto"/>
                <w:sz w:val="28"/>
                <w:szCs w:val="28"/>
              </w:rPr>
              <w:t>显示器：显示屏5.5英寸，分辨率1280*720，触摸屏电容式多点触摸屏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3。</w:t>
            </w:r>
            <w:r>
              <w:rPr>
                <w:rFonts w:asciiTheme="minorAscii"/>
                <w:color w:val="auto"/>
                <w:sz w:val="28"/>
                <w:szCs w:val="28"/>
              </w:rPr>
              <w:t>扫描器：摄像头500W 定焦，内置NFC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4。</w:t>
            </w:r>
            <w:r>
              <w:rPr>
                <w:rFonts w:asciiTheme="minorAscii"/>
                <w:color w:val="auto"/>
                <w:sz w:val="28"/>
                <w:szCs w:val="28"/>
              </w:rPr>
              <w:t>打印机：打印宽度58mm，打印方式/速度行式打印 50mm/S，</w:t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5。</w:t>
            </w:r>
            <w:r>
              <w:rPr>
                <w:rFonts w:asciiTheme="minorAscii"/>
                <w:color w:val="auto"/>
                <w:sz w:val="28"/>
                <w:szCs w:val="28"/>
              </w:rPr>
              <w:t>打印头寿命50Km，纸卷直径42mm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</w:rPr>
              <w:t>网络</w:t>
            </w:r>
            <w:r>
              <w:rPr>
                <w:rFonts w:asciiTheme="minorAscii"/>
                <w:color w:val="auto"/>
                <w:sz w:val="28"/>
                <w:szCs w:val="28"/>
              </w:rPr>
              <w:t>段 GSM900/1800 WCDMA2100 TD-SCDMA:B34、B39/FDD-LTE:B1、B3 /TDD-LTE:B38 B39 B40 B41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5、</w:t>
            </w:r>
            <w:r>
              <w:rPr>
                <w:rFonts w:asciiTheme="minorAscii"/>
                <w:color w:val="auto"/>
                <w:sz w:val="28"/>
                <w:szCs w:val="28"/>
              </w:rPr>
              <w:t>WIFI：内置WIFI 802.11 b.g.n</w:t>
            </w:r>
            <w:r>
              <w:rPr>
                <w:rFonts w:hint="eastAsia" w:asciiTheme="minorAscii"/>
                <w:color w:val="auto"/>
                <w:sz w:val="28"/>
                <w:szCs w:val="28"/>
              </w:rPr>
              <w:t>、4G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6、</w:t>
            </w:r>
            <w:r>
              <w:rPr>
                <w:rFonts w:asciiTheme="minorAscii"/>
                <w:color w:val="auto"/>
                <w:sz w:val="28"/>
                <w:szCs w:val="28"/>
              </w:rPr>
              <w:t>喇叭：单声道1W（可调音量） 音量高达95分贝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7、</w:t>
            </w:r>
            <w:r>
              <w:rPr>
                <w:rFonts w:asciiTheme="minorAscii"/>
                <w:color w:val="auto"/>
                <w:sz w:val="28"/>
                <w:szCs w:val="28"/>
              </w:rPr>
              <w:t>按键：电源键，扫描键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8、</w:t>
            </w:r>
            <w:r>
              <w:rPr>
                <w:rFonts w:asciiTheme="minorAscii"/>
                <w:color w:val="auto"/>
                <w:sz w:val="28"/>
                <w:szCs w:val="28"/>
              </w:rPr>
              <w:t>电池：内置7.4V/5200mAh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Theme="minorAscii"/>
                <w:color w:val="auto"/>
                <w:sz w:val="28"/>
                <w:szCs w:val="28"/>
                <w:lang w:val="en-US" w:eastAsia="zh-CN"/>
              </w:rPr>
              <w:t>9、</w:t>
            </w:r>
            <w:r>
              <w:rPr>
                <w:rFonts w:asciiTheme="minorAscii"/>
                <w:color w:val="auto"/>
                <w:sz w:val="28"/>
                <w:szCs w:val="28"/>
              </w:rPr>
              <w:t>充电器规格：输入：交流100-240V/1.5A 50/60Hz，输出：直流12V 1A</w:t>
            </w:r>
            <w:r>
              <w:rPr>
                <w:rFonts w:asciiTheme="minorAscii"/>
                <w:color w:val="auto"/>
                <w:sz w:val="28"/>
                <w:szCs w:val="28"/>
              </w:rPr>
              <w:br w:type="textWrapping"/>
            </w:r>
            <w:r>
              <w:rPr>
                <w:rFonts w:asciiTheme="minorAscii"/>
                <w:color w:val="auto"/>
                <w:sz w:val="28"/>
                <w:szCs w:val="28"/>
              </w:rPr>
              <w:t>外形尺寸：长209.2mm*宽87.4mm*高51.7mm</w:t>
            </w:r>
          </w:p>
        </w:tc>
        <w:tc>
          <w:tcPr>
            <w:tcW w:w="10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left"/>
              <w:rPr>
                <w:rFonts w:hint="eastAsia" w:asciiTheme="minorAscii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676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left"/>
              <w:rPr>
                <w:rFonts w:hint="eastAsia" w:asciiTheme="minorAsci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发卡器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  <w:right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Ansi="宋体" w:asciiTheme="minorAscii"/>
                <w:b/>
                <w:color w:val="auto"/>
                <w:sz w:val="28"/>
                <w:szCs w:val="28"/>
              </w:rPr>
              <w:drawing>
                <wp:inline distT="0" distB="0" distL="114300" distR="114300">
                  <wp:extent cx="904240" cy="953770"/>
                  <wp:effectExtent l="0" t="0" r="10160" b="1778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  <w:right w:val="single" w:color="FFFFFF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both"/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eastAsia="zh-CN"/>
              </w:rPr>
              <w:t>支持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 xml:space="preserve"> Web端建档发卡，充值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firstLine="138" w:firstLineChars="49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676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left"/>
              <w:rPr>
                <w:rFonts w:hint="eastAsia" w:asciiTheme="minorAsci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 xml:space="preserve"> 售饭卡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firstLine="843" w:firstLineChars="300"/>
              <w:rPr>
                <w:rFonts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可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eastAsia="zh-CN"/>
              </w:rPr>
              <w:t>按照医院要求进行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 xml:space="preserve">印刷 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firstLine="138" w:firstLineChars="49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2000张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676" w:type="dxa"/>
            <w:vMerge w:val="restart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Ascii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Ascii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二、</w:t>
            </w:r>
          </w:p>
          <w:p>
            <w:pPr>
              <w:jc w:val="center"/>
              <w:rPr>
                <w:rFonts w:hint="eastAsia" w:asciiTheme="minorAscii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门</w:t>
            </w:r>
          </w:p>
          <w:p>
            <w:pPr>
              <w:jc w:val="center"/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禁</w:t>
            </w:r>
          </w:p>
          <w:p>
            <w:pPr>
              <w:jc w:val="center"/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一</w:t>
            </w:r>
          </w:p>
          <w:p>
            <w:pPr>
              <w:jc w:val="center"/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卡</w:t>
            </w:r>
          </w:p>
          <w:p>
            <w:pPr>
              <w:jc w:val="center"/>
              <w:rPr>
                <w:rFonts w:hint="eastAsia" w:asciiTheme="minorAscii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人行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通道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摆闸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drawing>
                <wp:inline distT="0" distB="0" distL="114300" distR="114300">
                  <wp:extent cx="815975" cy="896620"/>
                  <wp:effectExtent l="0" t="0" r="3175" b="17780"/>
                  <wp:docPr id="9" name="图片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材质:国标304不锈钢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上盖厚度：1.26mm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箱体厚度：0.96mm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外尺寸：1200长*280宽*980高（MM）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摆臂长：500mm（可定制加长）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通道宽：≤550mm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电机：台邦或联谊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8、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电机寿命：≤800万次</w:t>
            </w: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Theme="minorAscii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676" w:type="dxa"/>
            <w:vMerge w:val="continue"/>
            <w:tcBorders>
              <w:left w:val="doub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jc w:val="left"/>
              <w:rPr>
                <w:rFonts w:hint="eastAsia" w:asciiTheme="minorAscii" w:hAnsiTheme="minorHAnsi" w:eastAsiaTheme="minorEastAsia" w:cstheme="minorBid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bottom"/>
          </w:tcPr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嵌入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式匝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机消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费终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  <w:t>端</w:t>
            </w:r>
          </w:p>
          <w:p>
            <w:pPr>
              <w:ind w:left="-176" w:leftChars="-85" w:hanging="2"/>
              <w:jc w:val="center"/>
              <w:rPr>
                <w:rFonts w:hint="eastAsia" w:asciiTheme="minorAsci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both"/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drawing>
                <wp:inline distT="0" distB="0" distL="114300" distR="114300">
                  <wp:extent cx="947420" cy="905510"/>
                  <wp:effectExtent l="0" t="0" r="5080" b="889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兼容消费机基本功能，适用于班次定值消费应用场合；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显示方式：3.5寸英寸彩屏液晶显示通讯接口：TCP/IP、USB（选配无线WIFI、4G移动通信）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卡号个数：20亿个，黑名单数2万 个脱机记录条数：5000条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感应距离：2-10cm（视卡而定）</w:t>
            </w:r>
          </w:p>
          <w:p>
            <w:pP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</w:pP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hAnsi="宋体" w:asciiTheme="minorAscii"/>
                <w:b/>
                <w:color w:val="auto"/>
                <w:sz w:val="28"/>
                <w:szCs w:val="28"/>
              </w:rPr>
              <w:t>选配扫码支付工作电压：12V/1A；工作电流：400mA使用环境：0～60℃, 20～60%RH储环境：“-20～70℃”, 10～90%RH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Theme="minorAscii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Ascii"/>
                <w:b/>
                <w:bCs/>
                <w:color w:val="auto"/>
                <w:sz w:val="28"/>
                <w:szCs w:val="28"/>
                <w:lang w:val="en-US" w:eastAsia="zh-CN"/>
              </w:rPr>
              <w:t>2台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457FA"/>
    <w:rsid w:val="4E5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2020-07-18T01:02:00Z</dcterms:created>
  <dc:creator>Administrator</dc:creator>
  <cp:lastModifiedBy>Administrator</cp:lastModifiedBy>
  <dcterms:modified xsi:type="dcterms:W3CDTF">2020-07-18T01:02:25Z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