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附件二：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/>
          <w:b/>
          <w:bCs/>
          <w:sz w:val="32"/>
          <w:szCs w:val="32"/>
          <w:lang w:eastAsia="zh-CN"/>
        </w:rPr>
        <w:t>护士鞋评分细则</w:t>
      </w:r>
    </w:p>
    <w:tbl>
      <w:tblPr>
        <w:tblStyle w:val="4"/>
        <w:tblpPr w:leftFromText="180" w:rightFromText="180" w:vertAnchor="text" w:horzAnchor="page" w:tblpX="1438" w:tblpY="279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166"/>
        <w:gridCol w:w="1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eastAsia="zh-CN"/>
              </w:rPr>
              <w:t>评分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eastAsia="zh-CN"/>
              </w:rPr>
              <w:t>项目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eastAsia="zh-CN"/>
              </w:rPr>
              <w:t>分值</w:t>
            </w:r>
          </w:p>
        </w:tc>
        <w:tc>
          <w:tcPr>
            <w:tcW w:w="11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eastAsia="zh-CN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01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eastAsia="zh-CN"/>
              </w:rPr>
              <w:t>商</w:t>
            </w: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eastAsia="zh-CN"/>
              </w:rPr>
              <w:t>务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eastAsia="zh-CN"/>
              </w:rPr>
              <w:t>技术分（</w:t>
            </w: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80分)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企业实力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10分</w:t>
            </w:r>
          </w:p>
        </w:tc>
        <w:tc>
          <w:tcPr>
            <w:tcW w:w="119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（1）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所有投标企业注册资金大于等于300万者得6分，200万-299万者得4分，100万-199万者得2分，低于100万者不得分。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（2）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获得国家知识产权局相关荣誉或专利，每提供1项证书材料得2分，满分4分。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015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项目业绩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8分</w:t>
            </w:r>
          </w:p>
        </w:tc>
        <w:tc>
          <w:tcPr>
            <w:tcW w:w="11993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提供医院用户名单超过3家的，每多提供一家三级医院加2分，每多提供一家二级医院加1分，满分8分。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</w:trPr>
        <w:tc>
          <w:tcPr>
            <w:tcW w:w="1015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产品检测报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告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18分</w:t>
            </w:r>
          </w:p>
        </w:tc>
        <w:tc>
          <w:tcPr>
            <w:tcW w:w="1199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所投货物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2020年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检测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报告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(投标文件中提供以下检测证明)：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（1）环保无毒第三方检测证明（1.含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甲醛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2.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可分解致癌芳香胺染料）；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（2）产品耐折第三方检测证明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（3）大底耐磨度第三方检测证明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（4）帮底剥离强度第三方检测证明；（5）鞋帮拉出强度第三方检测证明；（6）外底纤维板屈挠第三方检测证明；（7）摩擦色牢度第三方检测证明；（8）材质第三方检测证明（牛皮革、猪皮革）；（9）提供3A认证，重合同守信用证书。</w:t>
            </w:r>
          </w:p>
          <w:p>
            <w:pPr>
              <w:pStyle w:val="5"/>
              <w:tabs>
                <w:tab w:val="left" w:pos="420"/>
              </w:tabs>
              <w:spacing w:line="360" w:lineRule="auto"/>
              <w:ind w:left="0" w:firstLine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每提供一项检测</w:t>
            </w:r>
            <w:r>
              <w:rPr>
                <w:rFonts w:hint="eastAsia" w:eastAsia="宋体" w:cs="宋体"/>
                <w:color w:val="000000"/>
                <w:sz w:val="24"/>
                <w:szCs w:val="24"/>
                <w:lang w:val="en-US" w:eastAsia="zh-CN"/>
              </w:rPr>
              <w:t>报告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证明材料加2分，满分18分（所有检测</w:t>
            </w:r>
            <w:r>
              <w:rPr>
                <w:rFonts w:hint="eastAsia" w:eastAsia="宋体" w:cs="宋体"/>
                <w:color w:val="000000"/>
                <w:sz w:val="24"/>
                <w:szCs w:val="24"/>
                <w:lang w:val="en-US" w:eastAsia="zh-CN"/>
              </w:rPr>
              <w:t>报告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证明材料复印件需加盖单位公章）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15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样品综合评定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24分</w:t>
            </w:r>
          </w:p>
        </w:tc>
        <w:tc>
          <w:tcPr>
            <w:tcW w:w="11993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综合评定：对样品评级，从样品的材质、品牌、皮料、款式、颜色等综合评定比较，最优者得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19-24分，较好的得13-18分，一般的得7-12分，质量太差的得1-6分。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50" w:hRule="atLeast"/>
        </w:trPr>
        <w:tc>
          <w:tcPr>
            <w:tcW w:w="1015" w:type="dxa"/>
            <w:vMerge w:val="continue"/>
            <w:vAlign w:val="center"/>
          </w:tcPr>
          <w:p/>
        </w:tc>
        <w:tc>
          <w:tcPr>
            <w:tcW w:w="116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供货时间20分</w:t>
            </w:r>
          </w:p>
        </w:tc>
        <w:tc>
          <w:tcPr>
            <w:tcW w:w="11993" w:type="dxa"/>
            <w:vAlign w:val="center"/>
          </w:tcPr>
          <w:p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供货时间（≦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10天）为基准分20分，每延长3天在基准分基础上扣1分（取整数）。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0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eastAsia="zh-CN"/>
              </w:rPr>
              <w:t>价格分（</w:t>
            </w: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20分）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20分</w:t>
            </w:r>
          </w:p>
        </w:tc>
        <w:tc>
          <w:tcPr>
            <w:tcW w:w="119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总单价最低为评标基准价格，得满分；其他投标人的价格分统一按照下列公式计算：投标报价得分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=（评标基准价/投标总单价）*20（取整数）。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1532A"/>
    <w:rsid w:val="06D12EF3"/>
    <w:rsid w:val="12CD6DD8"/>
    <w:rsid w:val="1432747A"/>
    <w:rsid w:val="1DC4689C"/>
    <w:rsid w:val="2AB645D9"/>
    <w:rsid w:val="2E465A17"/>
    <w:rsid w:val="32C7576B"/>
    <w:rsid w:val="344540A4"/>
    <w:rsid w:val="379223E3"/>
    <w:rsid w:val="3A97121D"/>
    <w:rsid w:val="3AB50038"/>
    <w:rsid w:val="3BFC31D2"/>
    <w:rsid w:val="43F637B3"/>
    <w:rsid w:val="51CE3EF2"/>
    <w:rsid w:val="51F20DC8"/>
    <w:rsid w:val="552D6B3D"/>
    <w:rsid w:val="55D652DF"/>
    <w:rsid w:val="56F14CC2"/>
    <w:rsid w:val="5771510E"/>
    <w:rsid w:val="59227016"/>
    <w:rsid w:val="60486AC6"/>
    <w:rsid w:val="637A6610"/>
    <w:rsid w:val="651A3B05"/>
    <w:rsid w:val="67406EE8"/>
    <w:rsid w:val="70220D5A"/>
    <w:rsid w:val="70B64994"/>
    <w:rsid w:val="7907363B"/>
    <w:rsid w:val="7C2812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（符号）三标题1.1"/>
    <w:basedOn w:val="1"/>
    <w:qFormat/>
    <w:uiPriority w:val="0"/>
    <w:pPr>
      <w:tabs>
        <w:tab w:val="left" w:pos="1260"/>
      </w:tabs>
      <w:spacing w:line="500" w:lineRule="exact"/>
      <w:ind w:left="1260" w:hanging="420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2021-04-14T02:02:12Z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